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054" w:rsidRDefault="00443054"/>
    <w:p w:rsidR="00245BFB" w:rsidRPr="00443054" w:rsidRDefault="00245BFB" w:rsidP="00245BFB">
      <w:pPr>
        <w:rPr>
          <w:b/>
          <w:u w:val="single"/>
        </w:rPr>
      </w:pPr>
      <w:r>
        <w:rPr>
          <w:b/>
          <w:u w:val="single"/>
        </w:rPr>
        <w:t>Introduction</w:t>
      </w:r>
    </w:p>
    <w:p w:rsidR="00245BFB" w:rsidRDefault="00245BFB" w:rsidP="00245BFB"/>
    <w:p w:rsidR="00245BFB" w:rsidRDefault="00245BFB" w:rsidP="00245BFB">
      <w:r>
        <w:t>Computer-assisted text analysis</w:t>
      </w:r>
      <w:r w:rsidR="008C2E80">
        <w:t>, or “text analytics,”</w:t>
      </w:r>
      <w:r>
        <w:t xml:space="preserve"> supports a different kind of reading than we usually do in a literature course.  Whereas in the latter we usually engage in “close reading,” when we do computer-assisted text analysis we are doing what some practitioners  have come to call “distant reading” or “</w:t>
      </w:r>
      <w:proofErr w:type="spellStart"/>
      <w:r>
        <w:t>macroanalysis</w:t>
      </w:r>
      <w:proofErr w:type="spellEnd"/>
      <w:r>
        <w:t xml:space="preserve">.”  It </w:t>
      </w:r>
      <w:r w:rsidR="008C2E80">
        <w:t>involves stepping  back from a</w:t>
      </w:r>
      <w:r>
        <w:t xml:space="preserve"> text and, with the help of software, </w:t>
      </w:r>
      <w:r w:rsidR="008C2E80">
        <w:t xml:space="preserve">inspecting the language of the text as if it were any other kind of data. This approach allows us to </w:t>
      </w:r>
      <w:r>
        <w:t xml:space="preserve">look for patterns </w:t>
      </w:r>
      <w:r w:rsidR="008C2E80">
        <w:t xml:space="preserve">in the language </w:t>
      </w:r>
      <w:r>
        <w:t xml:space="preserve">that we might have missed </w:t>
      </w:r>
      <w:r w:rsidR="004E328A">
        <w:t>otherwise</w:t>
      </w:r>
      <w:r>
        <w:t>.</w:t>
      </w:r>
      <w:r w:rsidR="008C2E80">
        <w:t xml:space="preserve">  </w:t>
      </w:r>
      <w:r>
        <w:br/>
        <w:t xml:space="preserve">  </w:t>
      </w:r>
    </w:p>
    <w:p w:rsidR="00245BFB" w:rsidRDefault="008C2E80" w:rsidP="00245BFB">
      <w:r>
        <w:t>Why would we want to do this</w:t>
      </w:r>
      <w:r w:rsidR="00245BFB">
        <w:t xml:space="preserve">?  Because it encourages us to… </w:t>
      </w:r>
    </w:p>
    <w:p w:rsidR="00245BFB" w:rsidRDefault="00245BFB" w:rsidP="00245BFB">
      <w:pPr>
        <w:pStyle w:val="ListParagraph"/>
        <w:numPr>
          <w:ilvl w:val="0"/>
          <w:numId w:val="21"/>
        </w:numPr>
      </w:pPr>
      <w:r>
        <w:t>revisit questions we thought we knew the answers to, and</w:t>
      </w:r>
    </w:p>
    <w:p w:rsidR="00245BFB" w:rsidRPr="008A219F" w:rsidRDefault="00245BFB" w:rsidP="00245BFB">
      <w:pPr>
        <w:pStyle w:val="ListParagraph"/>
        <w:numPr>
          <w:ilvl w:val="0"/>
          <w:numId w:val="21"/>
        </w:numPr>
      </w:pPr>
      <w:r>
        <w:t>ask new questions that would never have occurred to us previously.</w:t>
      </w:r>
    </w:p>
    <w:p w:rsidR="00245BFB" w:rsidRPr="008A219F" w:rsidRDefault="00245BFB" w:rsidP="00245BFB"/>
    <w:p w:rsidR="00245BFB" w:rsidRPr="008A219F" w:rsidRDefault="00245BFB" w:rsidP="00245BFB">
      <w:r>
        <w:t xml:space="preserve">There are many web-based software tools that can help one perform text analytics.  In this workshop, we’ll be using the </w:t>
      </w:r>
      <w:proofErr w:type="spellStart"/>
      <w:r>
        <w:t>Voyant</w:t>
      </w:r>
      <w:proofErr w:type="spellEnd"/>
      <w:r>
        <w:t xml:space="preserve"> Toolkit, a </w:t>
      </w:r>
      <w:r w:rsidR="008C2E80">
        <w:t>well-established suite</w:t>
      </w:r>
      <w:r>
        <w:t xml:space="preserve"> of tools</w:t>
      </w:r>
      <w:r w:rsidR="008C2E80">
        <w:t xml:space="preserve"> that </w:t>
      </w:r>
      <w:r w:rsidR="004E328A">
        <w:t xml:space="preserve">offers a range of perspectives on the data of literary texts. </w:t>
      </w:r>
    </w:p>
    <w:p w:rsidR="00245BFB" w:rsidRDefault="00245BFB" w:rsidP="00245BFB">
      <w:r w:rsidRPr="008A219F">
        <w:br/>
        <w:t xml:space="preserve">To </w:t>
      </w:r>
      <w:r>
        <w:t>complete this mini-workshop</w:t>
      </w:r>
      <w:r w:rsidRPr="008A219F">
        <w:t>, you’ll need an internet connection</w:t>
      </w:r>
      <w:r>
        <w:t xml:space="preserve"> and </w:t>
      </w:r>
      <w:r w:rsidR="004E328A">
        <w:t>online copies of the</w:t>
      </w:r>
      <w:r>
        <w:t xml:space="preserve"> texts </w:t>
      </w:r>
      <w:r w:rsidR="004E328A">
        <w:t>we will be</w:t>
      </w:r>
      <w:r>
        <w:t xml:space="preserve"> analyzing</w:t>
      </w:r>
      <w:r>
        <w:t xml:space="preserve">.  </w:t>
      </w:r>
      <w:r w:rsidRPr="00BB59D2">
        <w:rPr>
          <w:b/>
        </w:rPr>
        <w:t xml:space="preserve">   </w:t>
      </w:r>
    </w:p>
    <w:p w:rsidR="00245BFB" w:rsidRDefault="00245BFB" w:rsidP="00245BFB"/>
    <w:p w:rsidR="00245BFB" w:rsidRPr="00443054" w:rsidRDefault="00245BFB" w:rsidP="00245BFB">
      <w:pPr>
        <w:rPr>
          <w:b/>
          <w:u w:val="single"/>
        </w:rPr>
      </w:pPr>
      <w:r w:rsidRPr="00443054">
        <w:rPr>
          <w:b/>
          <w:u w:val="single"/>
        </w:rPr>
        <w:t>H</w:t>
      </w:r>
      <w:r>
        <w:rPr>
          <w:b/>
          <w:u w:val="single"/>
        </w:rPr>
        <w:t xml:space="preserve">ow to </w:t>
      </w:r>
      <w:r>
        <w:rPr>
          <w:b/>
          <w:u w:val="single"/>
        </w:rPr>
        <w:t>do</w:t>
      </w:r>
      <w:r>
        <w:rPr>
          <w:b/>
          <w:u w:val="single"/>
        </w:rPr>
        <w:t xml:space="preserve"> it</w:t>
      </w:r>
    </w:p>
    <w:p w:rsidR="00245BFB" w:rsidRDefault="00245BFB" w:rsidP="00691033"/>
    <w:p w:rsidR="00691033" w:rsidRDefault="003B77FF" w:rsidP="00691033">
      <w:r>
        <w:t xml:space="preserve">For this </w:t>
      </w:r>
      <w:r w:rsidR="00245BFB">
        <w:t>workshop</w:t>
      </w:r>
      <w:r>
        <w:t xml:space="preserve"> </w:t>
      </w:r>
      <w:r w:rsidR="00245BFB">
        <w:t>you</w:t>
      </w:r>
      <w:r w:rsidR="005C5FDE">
        <w:t xml:space="preserve"> will</w:t>
      </w:r>
      <w:r w:rsidR="002D3721">
        <w:t xml:space="preserve"> use </w:t>
      </w:r>
      <w:proofErr w:type="spellStart"/>
      <w:r w:rsidR="00B4506A">
        <w:t>Voyant’s</w:t>
      </w:r>
      <w:proofErr w:type="spellEnd"/>
      <w:r w:rsidR="00B4506A">
        <w:t xml:space="preserve"> </w:t>
      </w:r>
      <w:proofErr w:type="spellStart"/>
      <w:r w:rsidR="00B4506A">
        <w:t>KWIC</w:t>
      </w:r>
      <w:proofErr w:type="spellEnd"/>
      <w:r w:rsidR="00B4506A">
        <w:t xml:space="preserve"> (Keyword in Context) tool</w:t>
      </w:r>
      <w:r>
        <w:t xml:space="preserve"> to</w:t>
      </w:r>
      <w:r w:rsidR="00ED6477">
        <w:t xml:space="preserve"> </w:t>
      </w:r>
      <w:r w:rsidR="00B4506A">
        <w:t>help you find and analyze</w:t>
      </w:r>
      <w:r w:rsidR="005C5FDE">
        <w:t xml:space="preserve"> </w:t>
      </w:r>
      <w:r w:rsidR="00B4506A">
        <w:t>similes in a literary text.</w:t>
      </w:r>
      <w:r w:rsidR="001D03E9">
        <w:t xml:space="preserve">  </w:t>
      </w:r>
    </w:p>
    <w:p w:rsidR="001D03E9" w:rsidRDefault="001D03E9" w:rsidP="00691033"/>
    <w:p w:rsidR="00B4506A" w:rsidRPr="00B4506A" w:rsidRDefault="00B4506A" w:rsidP="004E328A">
      <w:pPr>
        <w:numPr>
          <w:ilvl w:val="0"/>
          <w:numId w:val="19"/>
        </w:numPr>
        <w:spacing w:after="200" w:line="276" w:lineRule="auto"/>
        <w:contextualSpacing w:val="0"/>
      </w:pPr>
      <w:r w:rsidRPr="00B4506A">
        <w:t xml:space="preserve">Download the target text (we are using a translation of Emile Zola’s </w:t>
      </w:r>
      <w:r w:rsidRPr="00B4506A">
        <w:rPr>
          <w:i/>
        </w:rPr>
        <w:t xml:space="preserve">Germinal) </w:t>
      </w:r>
      <w:r w:rsidRPr="00B4506A">
        <w:t>as a plain text file</w:t>
      </w:r>
      <w:r w:rsidR="004E328A">
        <w:t xml:space="preserve">, located here:  </w:t>
      </w:r>
      <w:hyperlink r:id="rId9" w:history="1">
        <w:r w:rsidR="004E328A" w:rsidRPr="00E25760">
          <w:rPr>
            <w:rStyle w:val="Hyperlink"/>
          </w:rPr>
          <w:t>http://</w:t>
        </w:r>
        <w:proofErr w:type="spellStart"/>
        <w:r w:rsidR="004E328A" w:rsidRPr="00E25760">
          <w:rPr>
            <w:rStyle w:val="Hyperlink"/>
          </w:rPr>
          <w:t>www.gutenberg.org</w:t>
        </w:r>
        <w:proofErr w:type="spellEnd"/>
        <w:r w:rsidR="004E328A" w:rsidRPr="00E25760">
          <w:rPr>
            <w:rStyle w:val="Hyperlink"/>
          </w:rPr>
          <w:t>/</w:t>
        </w:r>
        <w:proofErr w:type="spellStart"/>
        <w:r w:rsidR="004E328A" w:rsidRPr="00E25760">
          <w:rPr>
            <w:rStyle w:val="Hyperlink"/>
          </w:rPr>
          <w:t>ebooks</w:t>
        </w:r>
        <w:proofErr w:type="spellEnd"/>
        <w:r w:rsidR="004E328A" w:rsidRPr="00E25760">
          <w:rPr>
            <w:rStyle w:val="Hyperlink"/>
          </w:rPr>
          <w:t>/5711</w:t>
        </w:r>
      </w:hyperlink>
      <w:r w:rsidR="004E328A">
        <w:t xml:space="preserve"> .</w:t>
      </w:r>
      <w:r w:rsidR="005824A9">
        <w:t xml:space="preserve">  (Download the file labeled “Plain Text </w:t>
      </w:r>
      <w:proofErr w:type="spellStart"/>
      <w:r w:rsidR="005824A9">
        <w:t>UTF</w:t>
      </w:r>
      <w:proofErr w:type="spellEnd"/>
      <w:r w:rsidR="005824A9">
        <w:t>-8”.)</w:t>
      </w:r>
    </w:p>
    <w:p w:rsidR="00B4506A" w:rsidRPr="00B4506A" w:rsidRDefault="00B4506A" w:rsidP="00B4506A">
      <w:pPr>
        <w:spacing w:after="200" w:line="276" w:lineRule="auto"/>
        <w:ind w:left="360"/>
        <w:contextualSpacing w:val="0"/>
      </w:pPr>
      <w:r w:rsidRPr="00B4506A">
        <w:rPr>
          <w:noProof/>
        </w:rPr>
        <w:drawing>
          <wp:inline distT="0" distB="0" distL="0" distR="0" wp14:anchorId="3CD03982" wp14:editId="1B3B1156">
            <wp:extent cx="4743929" cy="2619438"/>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6263" cy="2648335"/>
                    </a:xfrm>
                    <a:prstGeom prst="rect">
                      <a:avLst/>
                    </a:prstGeom>
                    <a:noFill/>
                    <a:ln>
                      <a:solidFill>
                        <a:schemeClr val="accent1"/>
                      </a:solidFill>
                    </a:ln>
                  </pic:spPr>
                </pic:pic>
              </a:graphicData>
            </a:graphic>
          </wp:inline>
        </w:drawing>
      </w:r>
      <w:r w:rsidRPr="00B4506A">
        <w:t xml:space="preserve">  </w:t>
      </w:r>
    </w:p>
    <w:p w:rsidR="00B4506A" w:rsidRPr="00B4506A" w:rsidRDefault="00B4506A" w:rsidP="00B4506A">
      <w:pPr>
        <w:numPr>
          <w:ilvl w:val="0"/>
          <w:numId w:val="19"/>
        </w:numPr>
        <w:spacing w:after="200" w:line="276" w:lineRule="auto"/>
        <w:contextualSpacing w:val="0"/>
      </w:pPr>
      <w:r w:rsidRPr="00B4506A">
        <w:lastRenderedPageBreak/>
        <w:t xml:space="preserve">Go to </w:t>
      </w:r>
      <w:hyperlink r:id="rId11" w:history="1">
        <w:r w:rsidRPr="00B4506A">
          <w:rPr>
            <w:color w:val="0000FF" w:themeColor="hyperlink"/>
            <w:u w:val="single"/>
          </w:rPr>
          <w:t>http://</w:t>
        </w:r>
        <w:proofErr w:type="spellStart"/>
        <w:r w:rsidRPr="00B4506A">
          <w:rPr>
            <w:color w:val="0000FF" w:themeColor="hyperlink"/>
            <w:u w:val="single"/>
          </w:rPr>
          <w:t>docs.voyant-tools.org</w:t>
        </w:r>
        <w:proofErr w:type="spellEnd"/>
        <w:r w:rsidRPr="00B4506A">
          <w:rPr>
            <w:color w:val="0000FF" w:themeColor="hyperlink"/>
            <w:u w:val="single"/>
          </w:rPr>
          <w:t>/</w:t>
        </w:r>
      </w:hyperlink>
      <w:r w:rsidRPr="00B4506A">
        <w:t xml:space="preserve">  and click </w:t>
      </w:r>
      <w:r w:rsidRPr="00B4506A">
        <w:rPr>
          <w:b/>
        </w:rPr>
        <w:t>Tools Index</w:t>
      </w:r>
      <w:r w:rsidRPr="00B4506A">
        <w:t>.</w:t>
      </w:r>
    </w:p>
    <w:p w:rsidR="00B4506A" w:rsidRPr="00B4506A" w:rsidRDefault="00B4506A" w:rsidP="00B4506A">
      <w:pPr>
        <w:spacing w:after="200" w:line="276" w:lineRule="auto"/>
        <w:ind w:left="360"/>
      </w:pPr>
      <w:r w:rsidRPr="00B4506A">
        <w:rPr>
          <w:noProof/>
        </w:rPr>
        <w:drawing>
          <wp:inline distT="0" distB="0" distL="0" distR="0" wp14:anchorId="4414D34E" wp14:editId="6DFB209D">
            <wp:extent cx="4715585" cy="29094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6643" cy="2928616"/>
                    </a:xfrm>
                    <a:prstGeom prst="rect">
                      <a:avLst/>
                    </a:prstGeom>
                    <a:noFill/>
                    <a:ln>
                      <a:noFill/>
                    </a:ln>
                  </pic:spPr>
                </pic:pic>
              </a:graphicData>
            </a:graphic>
          </wp:inline>
        </w:drawing>
      </w:r>
      <w:r w:rsidR="004E328A">
        <w:br/>
      </w:r>
      <w:r>
        <w:br/>
      </w:r>
      <w:r w:rsidRPr="00B4506A">
        <w:t xml:space="preserve">Page down until you see the tool called “Document Type </w:t>
      </w:r>
      <w:proofErr w:type="spellStart"/>
      <w:r w:rsidRPr="00B4506A">
        <w:t>KWICs</w:t>
      </w:r>
      <w:proofErr w:type="spellEnd"/>
      <w:r w:rsidRPr="00B4506A">
        <w:t xml:space="preserve"> Grid.”  Click </w:t>
      </w:r>
      <w:r w:rsidRPr="00B4506A">
        <w:rPr>
          <w:b/>
        </w:rPr>
        <w:t>use it</w:t>
      </w:r>
      <w:r w:rsidRPr="00B4506A">
        <w:t>.</w:t>
      </w:r>
      <w:r>
        <w:br/>
      </w:r>
    </w:p>
    <w:p w:rsidR="004E328A" w:rsidRDefault="00B4506A" w:rsidP="00B4506A">
      <w:pPr>
        <w:spacing w:after="200" w:line="276" w:lineRule="auto"/>
        <w:ind w:left="360"/>
        <w:contextualSpacing w:val="0"/>
      </w:pPr>
      <w:r w:rsidRPr="00B4506A">
        <w:rPr>
          <w:noProof/>
        </w:rPr>
        <w:drawing>
          <wp:inline distT="0" distB="0" distL="0" distR="0" wp14:anchorId="561F1999" wp14:editId="0225F873">
            <wp:extent cx="4708942" cy="3063834"/>
            <wp:effectExtent l="19050" t="19050" r="1587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5146" cy="3119922"/>
                    </a:xfrm>
                    <a:prstGeom prst="rect">
                      <a:avLst/>
                    </a:prstGeom>
                    <a:noFill/>
                    <a:ln>
                      <a:solidFill>
                        <a:schemeClr val="accent1"/>
                      </a:solidFill>
                    </a:ln>
                  </pic:spPr>
                </pic:pic>
              </a:graphicData>
            </a:graphic>
          </wp:inline>
        </w:drawing>
      </w:r>
      <w:r w:rsidRPr="00B4506A">
        <w:br/>
      </w:r>
      <w:r w:rsidRPr="00B4506A">
        <w:br/>
      </w:r>
    </w:p>
    <w:p w:rsidR="004E328A" w:rsidRDefault="004E328A" w:rsidP="00B4506A">
      <w:pPr>
        <w:spacing w:after="200" w:line="276" w:lineRule="auto"/>
        <w:ind w:left="360"/>
        <w:contextualSpacing w:val="0"/>
      </w:pPr>
    </w:p>
    <w:p w:rsidR="00B4506A" w:rsidRPr="00B4506A" w:rsidRDefault="00B4506A" w:rsidP="00B4506A">
      <w:pPr>
        <w:spacing w:after="200" w:line="276" w:lineRule="auto"/>
        <w:ind w:left="360"/>
        <w:contextualSpacing w:val="0"/>
      </w:pPr>
      <w:r w:rsidRPr="00B4506A">
        <w:lastRenderedPageBreak/>
        <w:t xml:space="preserve">Copy and paste the target text into the </w:t>
      </w:r>
      <w:proofErr w:type="spellStart"/>
      <w:r w:rsidRPr="00B4506A">
        <w:t>Voyant</w:t>
      </w:r>
      <w:proofErr w:type="spellEnd"/>
      <w:r w:rsidRPr="00B4506A">
        <w:t xml:space="preserve"> </w:t>
      </w:r>
      <w:r w:rsidRPr="00B4506A">
        <w:rPr>
          <w:b/>
        </w:rPr>
        <w:t>Add Texts</w:t>
      </w:r>
      <w:r w:rsidRPr="00B4506A">
        <w:t xml:space="preserve"> field, then click </w:t>
      </w:r>
      <w:r w:rsidRPr="00B4506A">
        <w:rPr>
          <w:b/>
        </w:rPr>
        <w:t>Reveal</w:t>
      </w:r>
      <w:r w:rsidRPr="00B4506A">
        <w:t>.</w:t>
      </w:r>
      <w:r>
        <w:br/>
      </w:r>
      <w:r w:rsidRPr="00B4506A">
        <w:t xml:space="preserve">   </w:t>
      </w:r>
      <w:r w:rsidRPr="00B4506A">
        <w:br/>
      </w:r>
      <w:r w:rsidRPr="00B4506A">
        <w:rPr>
          <w:noProof/>
        </w:rPr>
        <w:drawing>
          <wp:inline distT="0" distB="0" distL="0" distR="0" wp14:anchorId="05B8FC8B" wp14:editId="24BD0CC8">
            <wp:extent cx="4203865" cy="367837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8000" cy="3734496"/>
                    </a:xfrm>
                    <a:prstGeom prst="rect">
                      <a:avLst/>
                    </a:prstGeom>
                    <a:noFill/>
                    <a:ln>
                      <a:noFill/>
                    </a:ln>
                  </pic:spPr>
                </pic:pic>
              </a:graphicData>
            </a:graphic>
          </wp:inline>
        </w:drawing>
      </w:r>
    </w:p>
    <w:p w:rsidR="00B4506A" w:rsidRPr="00B4506A" w:rsidRDefault="00B4506A" w:rsidP="00B4506A">
      <w:pPr>
        <w:spacing w:after="200" w:line="276" w:lineRule="auto"/>
        <w:ind w:left="360"/>
      </w:pPr>
    </w:p>
    <w:p w:rsidR="00B4506A" w:rsidRPr="00B4506A" w:rsidRDefault="00B4506A" w:rsidP="00B4506A">
      <w:pPr>
        <w:spacing w:after="200" w:line="276" w:lineRule="auto"/>
        <w:ind w:left="360"/>
      </w:pPr>
      <w:r w:rsidRPr="00B4506A">
        <w:rPr>
          <w:noProof/>
        </w:rPr>
        <w:drawing>
          <wp:inline distT="0" distB="0" distL="0" distR="0" wp14:anchorId="03A02C8B" wp14:editId="32D97733">
            <wp:extent cx="5237018" cy="2555462"/>
            <wp:effectExtent l="19050" t="19050" r="2095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067" cy="2574029"/>
                    </a:xfrm>
                    <a:prstGeom prst="rect">
                      <a:avLst/>
                    </a:prstGeom>
                    <a:noFill/>
                    <a:ln>
                      <a:solidFill>
                        <a:schemeClr val="accent1"/>
                      </a:solidFill>
                    </a:ln>
                  </pic:spPr>
                </pic:pic>
              </a:graphicData>
            </a:graphic>
          </wp:inline>
        </w:drawing>
      </w:r>
    </w:p>
    <w:p w:rsidR="00B4506A" w:rsidRPr="00B4506A" w:rsidRDefault="00B4506A" w:rsidP="00B4506A">
      <w:pPr>
        <w:spacing w:after="200" w:line="276" w:lineRule="auto"/>
        <w:ind w:left="360"/>
      </w:pPr>
    </w:p>
    <w:p w:rsidR="00B4506A" w:rsidRPr="00B4506A" w:rsidRDefault="00B4506A" w:rsidP="00B4506A">
      <w:pPr>
        <w:numPr>
          <w:ilvl w:val="0"/>
          <w:numId w:val="19"/>
        </w:numPr>
        <w:spacing w:after="200" w:line="276" w:lineRule="auto"/>
        <w:contextualSpacing w:val="0"/>
      </w:pPr>
      <w:r w:rsidRPr="00B4506A">
        <w:t>Now you’ll see a screen that says “No results.”  That’s because this tool requires that you tell it specifically which “keywords in context” (“</w:t>
      </w:r>
      <w:proofErr w:type="spellStart"/>
      <w:r w:rsidRPr="00B4506A">
        <w:t>KWICs</w:t>
      </w:r>
      <w:proofErr w:type="spellEnd"/>
      <w:r w:rsidRPr="00B4506A">
        <w:t xml:space="preserve">”) you want to see.   Type the word “as” into the search field at bottom of the page.   You should now see a three-column display that looks like this:  </w:t>
      </w:r>
      <w:r w:rsidRPr="00B4506A">
        <w:br/>
      </w:r>
      <w:r w:rsidRPr="00B4506A">
        <w:lastRenderedPageBreak/>
        <w:br/>
      </w:r>
      <w:r w:rsidRPr="00B4506A">
        <w:rPr>
          <w:noProof/>
        </w:rPr>
        <w:drawing>
          <wp:inline distT="0" distB="0" distL="0" distR="0" wp14:anchorId="5BBE9F2D" wp14:editId="3AED7A05">
            <wp:extent cx="5533901" cy="3387740"/>
            <wp:effectExtent l="19050" t="19050" r="1016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6566" cy="3438346"/>
                    </a:xfrm>
                    <a:prstGeom prst="rect">
                      <a:avLst/>
                    </a:prstGeom>
                    <a:noFill/>
                    <a:ln>
                      <a:solidFill>
                        <a:schemeClr val="accent1"/>
                      </a:solidFill>
                    </a:ln>
                  </pic:spPr>
                </pic:pic>
              </a:graphicData>
            </a:graphic>
          </wp:inline>
        </w:drawing>
      </w:r>
    </w:p>
    <w:p w:rsidR="00B4506A" w:rsidRPr="00B4506A" w:rsidRDefault="00B4506A" w:rsidP="00B4506A">
      <w:pPr>
        <w:numPr>
          <w:ilvl w:val="0"/>
          <w:numId w:val="19"/>
        </w:numPr>
        <w:spacing w:after="200" w:line="276" w:lineRule="auto"/>
        <w:contextualSpacing w:val="0"/>
      </w:pPr>
      <w:r w:rsidRPr="00B4506A">
        <w:t xml:space="preserve">Click the </w:t>
      </w:r>
      <w:r w:rsidRPr="00B4506A">
        <w:rPr>
          <w:b/>
        </w:rPr>
        <w:t>Context</w:t>
      </w:r>
      <w:r w:rsidRPr="00B4506A">
        <w:t xml:space="preserve"> dropdown button at bottom of the page and select “20.”</w:t>
      </w:r>
      <w:r w:rsidRPr="00B4506A">
        <w:br/>
      </w:r>
      <w:r w:rsidRPr="00B4506A">
        <w:br/>
      </w:r>
      <w:r w:rsidRPr="00B4506A">
        <w:rPr>
          <w:noProof/>
        </w:rPr>
        <w:drawing>
          <wp:inline distT="0" distB="0" distL="0" distR="0" wp14:anchorId="436EECEE" wp14:editId="11843B82">
            <wp:extent cx="5882127" cy="1557867"/>
            <wp:effectExtent l="19050" t="19050" r="2349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390" cy="1566677"/>
                    </a:xfrm>
                    <a:prstGeom prst="rect">
                      <a:avLst/>
                    </a:prstGeom>
                    <a:noFill/>
                    <a:ln>
                      <a:solidFill>
                        <a:schemeClr val="accent1"/>
                      </a:solidFill>
                    </a:ln>
                  </pic:spPr>
                </pic:pic>
              </a:graphicData>
            </a:graphic>
          </wp:inline>
        </w:drawing>
      </w:r>
      <w:r w:rsidRPr="00B4506A">
        <w:br/>
      </w:r>
      <w:r w:rsidRPr="00B4506A">
        <w:br/>
        <w:t xml:space="preserve">This will expand to twenty words the context in which the term “as” appears in the display, which will allow you to tell at a glance if the word is or is not being used as part of a simile. </w:t>
      </w:r>
      <w:r w:rsidRPr="00B4506A">
        <w:br/>
      </w:r>
    </w:p>
    <w:p w:rsidR="00B4506A" w:rsidRPr="00B4506A" w:rsidRDefault="00B4506A" w:rsidP="00B4506A">
      <w:pPr>
        <w:spacing w:after="200" w:line="276" w:lineRule="auto"/>
        <w:ind w:left="360"/>
      </w:pPr>
      <w:r w:rsidRPr="00B4506A">
        <w:rPr>
          <w:noProof/>
        </w:rPr>
        <w:lastRenderedPageBreak/>
        <w:drawing>
          <wp:inline distT="0" distB="0" distL="0" distR="0" wp14:anchorId="18EBA3ED" wp14:editId="22FC6955">
            <wp:extent cx="5219700" cy="3479800"/>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517" cy="3501012"/>
                    </a:xfrm>
                    <a:prstGeom prst="rect">
                      <a:avLst/>
                    </a:prstGeom>
                    <a:noFill/>
                    <a:ln>
                      <a:solidFill>
                        <a:schemeClr val="accent1"/>
                      </a:solidFill>
                    </a:ln>
                  </pic:spPr>
                </pic:pic>
              </a:graphicData>
            </a:graphic>
          </wp:inline>
        </w:drawing>
      </w:r>
    </w:p>
    <w:p w:rsidR="00B4506A" w:rsidRPr="00B4506A" w:rsidRDefault="00B4506A" w:rsidP="00B4506A">
      <w:pPr>
        <w:spacing w:after="200" w:line="276" w:lineRule="auto"/>
        <w:ind w:left="360"/>
      </w:pPr>
    </w:p>
    <w:p w:rsidR="00B4506A" w:rsidRDefault="00B4506A" w:rsidP="00B4506A">
      <w:pPr>
        <w:numPr>
          <w:ilvl w:val="0"/>
          <w:numId w:val="19"/>
        </w:numPr>
        <w:spacing w:after="200" w:line="276" w:lineRule="auto"/>
        <w:contextualSpacing w:val="0"/>
      </w:pPr>
      <w:r w:rsidRPr="00B4506A">
        <w:t>Now click on the top row of the KWIK listing.   This will open a new window, which you will want to ignore.  Instead, you will need to go back to the original KWIK listing by clicking the tab at top of the display (A).  Then press and hold down the shift key and, using the slider on the far right, page down to the b</w:t>
      </w:r>
      <w:r>
        <w:t xml:space="preserve">ottom row of the display (B). </w:t>
      </w:r>
      <w:r w:rsidRPr="00B4506A">
        <w:br/>
      </w:r>
      <w:r w:rsidRPr="00B4506A">
        <w:br/>
      </w:r>
      <w:r w:rsidRPr="00B4506A">
        <w:rPr>
          <w:noProof/>
        </w:rPr>
        <w:drawing>
          <wp:inline distT="0" distB="0" distL="0" distR="0" wp14:anchorId="48619820" wp14:editId="6315F0F2">
            <wp:extent cx="4143375" cy="28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2537" cy="2834905"/>
                    </a:xfrm>
                    <a:prstGeom prst="rect">
                      <a:avLst/>
                    </a:prstGeom>
                    <a:noFill/>
                    <a:ln>
                      <a:noFill/>
                    </a:ln>
                  </pic:spPr>
                </pic:pic>
              </a:graphicData>
            </a:graphic>
          </wp:inline>
        </w:drawing>
      </w:r>
    </w:p>
    <w:p w:rsidR="005824A9" w:rsidRDefault="005824A9" w:rsidP="005824A9">
      <w:pPr>
        <w:spacing w:after="200" w:line="276" w:lineRule="auto"/>
        <w:ind w:left="360"/>
        <w:contextualSpacing w:val="0"/>
      </w:pPr>
    </w:p>
    <w:p w:rsidR="005824A9" w:rsidRPr="00B4506A" w:rsidRDefault="005824A9" w:rsidP="005824A9">
      <w:pPr>
        <w:spacing w:after="200" w:line="276" w:lineRule="auto"/>
        <w:ind w:left="360"/>
        <w:contextualSpacing w:val="0"/>
      </w:pPr>
    </w:p>
    <w:p w:rsidR="005824A9" w:rsidRDefault="00B4506A" w:rsidP="00B4506A">
      <w:pPr>
        <w:numPr>
          <w:ilvl w:val="0"/>
          <w:numId w:val="19"/>
        </w:numPr>
        <w:spacing w:after="200" w:line="276" w:lineRule="auto"/>
        <w:contextualSpacing w:val="0"/>
      </w:pPr>
      <w:r w:rsidRPr="00B4506A">
        <w:t xml:space="preserve">Once you’ve selected the entire page of </w:t>
      </w:r>
      <w:proofErr w:type="spellStart"/>
      <w:r w:rsidRPr="00B4506A">
        <w:t>KWIC</w:t>
      </w:r>
      <w:proofErr w:type="spellEnd"/>
      <w:r w:rsidRPr="00B4506A">
        <w:t xml:space="preserve"> data, click </w:t>
      </w:r>
      <w:r w:rsidRPr="00B4506A">
        <w:rPr>
          <w:b/>
        </w:rPr>
        <w:t>Select all</w:t>
      </w:r>
      <w:r w:rsidRPr="00B4506A">
        <w:t xml:space="preserve"> and </w:t>
      </w:r>
      <w:r w:rsidRPr="00B4506A">
        <w:rPr>
          <w:b/>
        </w:rPr>
        <w:t>Copy</w:t>
      </w:r>
      <w:r w:rsidRPr="00B4506A">
        <w:t xml:space="preserve">.  </w:t>
      </w:r>
    </w:p>
    <w:p w:rsidR="00B4506A" w:rsidRDefault="00B4506A" w:rsidP="005824A9">
      <w:pPr>
        <w:spacing w:after="200" w:line="276" w:lineRule="auto"/>
        <w:ind w:left="360"/>
        <w:contextualSpacing w:val="0"/>
      </w:pPr>
      <w:r w:rsidRPr="00B4506A">
        <w:t xml:space="preserve"> </w:t>
      </w:r>
      <w:r w:rsidRPr="00B4506A">
        <w:rPr>
          <w:noProof/>
        </w:rPr>
        <w:drawing>
          <wp:inline distT="0" distB="0" distL="0" distR="0" wp14:anchorId="4EA1ED95" wp14:editId="352452BC">
            <wp:extent cx="5238750" cy="218631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379" cy="2185327"/>
                    </a:xfrm>
                    <a:prstGeom prst="rect">
                      <a:avLst/>
                    </a:prstGeom>
                    <a:noFill/>
                    <a:ln>
                      <a:noFill/>
                    </a:ln>
                  </pic:spPr>
                </pic:pic>
              </a:graphicData>
            </a:graphic>
          </wp:inline>
        </w:drawing>
      </w:r>
    </w:p>
    <w:p w:rsidR="00B4506A" w:rsidRPr="00B4506A" w:rsidRDefault="00B4506A" w:rsidP="00B4506A">
      <w:pPr>
        <w:numPr>
          <w:ilvl w:val="0"/>
          <w:numId w:val="19"/>
        </w:numPr>
        <w:spacing w:after="200" w:line="276" w:lineRule="auto"/>
        <w:contextualSpacing w:val="0"/>
      </w:pPr>
      <w:r w:rsidRPr="00B4506A">
        <w:t xml:space="preserve">Open an Excel or Google spreadsheet and paste the data into it, maintaining the formatting of the original.   Every row from the first page of the </w:t>
      </w:r>
      <w:proofErr w:type="spellStart"/>
      <w:r w:rsidRPr="00B4506A">
        <w:t>KWIC</w:t>
      </w:r>
      <w:proofErr w:type="spellEnd"/>
      <w:r w:rsidRPr="00B4506A">
        <w:t xml:space="preserve"> tool display should appear in the spreadsheet.  NOTE: You may have to tweak the row heights to make sure you can see all of the data that you want.   If there are cells that got copied but that you don’t need, just delete (or ignore) them.   You should see your keyword (“as”) and the ten or so words to the immediate left and right of the keyword, as shown here: </w:t>
      </w:r>
      <w:r>
        <w:br/>
      </w:r>
      <w:r w:rsidRPr="00B4506A">
        <w:br/>
      </w:r>
      <w:r w:rsidRPr="00B4506A">
        <w:rPr>
          <w:noProof/>
        </w:rPr>
        <w:drawing>
          <wp:inline distT="0" distB="0" distL="0" distR="0" wp14:anchorId="5135FBA5" wp14:editId="1F03B9CB">
            <wp:extent cx="5469467" cy="312040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6616" cy="3118775"/>
                    </a:xfrm>
                    <a:prstGeom prst="rect">
                      <a:avLst/>
                    </a:prstGeom>
                    <a:noFill/>
                    <a:ln>
                      <a:noFill/>
                    </a:ln>
                  </pic:spPr>
                </pic:pic>
              </a:graphicData>
            </a:graphic>
          </wp:inline>
        </w:drawing>
      </w:r>
      <w:r w:rsidRPr="00B4506A">
        <w:br/>
      </w:r>
    </w:p>
    <w:p w:rsidR="005D4AEB" w:rsidRDefault="00B4506A" w:rsidP="00B4506A">
      <w:pPr>
        <w:numPr>
          <w:ilvl w:val="0"/>
          <w:numId w:val="19"/>
        </w:numPr>
        <w:spacing w:after="200" w:line="276" w:lineRule="auto"/>
        <w:contextualSpacing w:val="0"/>
      </w:pPr>
      <w:r w:rsidRPr="00B4506A">
        <w:lastRenderedPageBreak/>
        <w:t xml:space="preserve">Repeat the process for the rest of the pages that list the word “as” in context.   Then do the same for “like” and other terms that may indicate a simile has been used.  Once you’ve completed your inventory, remove any duplicates (there will be many in the “as” portion of the data, due to the common simile construction “as [     ] as a [     ]”).  You’re now ready to look for patterns or themes in the similes.  </w:t>
      </w:r>
      <w:bookmarkStart w:id="0" w:name="_GoBack"/>
      <w:bookmarkEnd w:id="0"/>
    </w:p>
    <w:sectPr w:rsidR="005D4AEB" w:rsidSect="00245BFB">
      <w:headerReference w:type="default" r:id="rId22"/>
      <w:footerReference w:type="default" r:id="rId23"/>
      <w:pgSz w:w="12240" w:h="15840"/>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405" w:rsidRDefault="001A2405" w:rsidP="001A2405">
      <w:r>
        <w:separator/>
      </w:r>
    </w:p>
  </w:endnote>
  <w:endnote w:type="continuationSeparator" w:id="0">
    <w:p w:rsidR="001A2405" w:rsidRDefault="001A2405" w:rsidP="001A2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467471"/>
      <w:docPartObj>
        <w:docPartGallery w:val="Page Numbers (Bottom of Page)"/>
        <w:docPartUnique/>
      </w:docPartObj>
    </w:sdtPr>
    <w:sdtEndPr>
      <w:rPr>
        <w:noProof/>
      </w:rPr>
    </w:sdtEndPr>
    <w:sdtContent>
      <w:p w:rsidR="00155D48" w:rsidRDefault="00155D48">
        <w:pPr>
          <w:pStyle w:val="Footer"/>
          <w:jc w:val="center"/>
        </w:pPr>
        <w:r>
          <w:fldChar w:fldCharType="begin"/>
        </w:r>
        <w:r>
          <w:instrText xml:space="preserve"> PAGE   \* MERGEFORMAT </w:instrText>
        </w:r>
        <w:r>
          <w:fldChar w:fldCharType="separate"/>
        </w:r>
        <w:r w:rsidR="005824A9">
          <w:rPr>
            <w:noProof/>
          </w:rPr>
          <w:t>1</w:t>
        </w:r>
        <w:r>
          <w:rPr>
            <w:noProof/>
          </w:rPr>
          <w:fldChar w:fldCharType="end"/>
        </w:r>
      </w:p>
    </w:sdtContent>
  </w:sdt>
  <w:p w:rsidR="00155D48" w:rsidRDefault="00155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405" w:rsidRDefault="001A2405" w:rsidP="001A2405">
      <w:r>
        <w:separator/>
      </w:r>
    </w:p>
  </w:footnote>
  <w:footnote w:type="continuationSeparator" w:id="0">
    <w:p w:rsidR="001A2405" w:rsidRDefault="001A2405" w:rsidP="001A2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05" w:rsidRDefault="001A2405" w:rsidP="001A2405">
    <w:pPr>
      <w:pStyle w:val="Header"/>
      <w:ind w:left="720"/>
      <w:jc w:val="right"/>
    </w:pPr>
    <w:r w:rsidRPr="001A2405">
      <w:rPr>
        <w:b/>
        <w:noProof/>
        <w:sz w:val="40"/>
        <w:szCs w:val="40"/>
      </w:rPr>
      <mc:AlternateContent>
        <mc:Choice Requires="wps">
          <w:drawing>
            <wp:anchor distT="0" distB="0" distL="114300" distR="114300" simplePos="0" relativeHeight="251659264" behindDoc="0" locked="0" layoutInCell="1" allowOverlap="1" wp14:anchorId="7CBC561D" wp14:editId="604092EA">
              <wp:simplePos x="0" y="0"/>
              <wp:positionH relativeFrom="column">
                <wp:posOffset>0</wp:posOffset>
              </wp:positionH>
              <wp:positionV relativeFrom="paragraph">
                <wp:posOffset>-401954</wp:posOffset>
              </wp:positionV>
              <wp:extent cx="3409950" cy="1054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054100"/>
                      </a:xfrm>
                      <a:prstGeom prst="rect">
                        <a:avLst/>
                      </a:prstGeom>
                      <a:solidFill>
                        <a:srgbClr val="FFFFFF"/>
                      </a:solidFill>
                      <a:ln w="9525">
                        <a:noFill/>
                        <a:miter lim="800000"/>
                        <a:headEnd/>
                        <a:tailEnd/>
                      </a:ln>
                    </wps:spPr>
                    <wps:txbx>
                      <w:txbxContent>
                        <w:p w:rsidR="001A2405" w:rsidRDefault="00B4506A" w:rsidP="00245BFB">
                          <w:pPr>
                            <w:jc w:val="center"/>
                          </w:pPr>
                          <w:r>
                            <w:rPr>
                              <w:b/>
                              <w:sz w:val="40"/>
                              <w:szCs w:val="40"/>
                            </w:rPr>
                            <w:t xml:space="preserve">How to Use </w:t>
                          </w:r>
                          <w:proofErr w:type="spellStart"/>
                          <w:r>
                            <w:rPr>
                              <w:b/>
                              <w:sz w:val="40"/>
                              <w:szCs w:val="40"/>
                            </w:rPr>
                            <w:t>Voyant</w:t>
                          </w:r>
                          <w:proofErr w:type="spellEnd"/>
                          <w:r>
                            <w:rPr>
                              <w:b/>
                              <w:sz w:val="40"/>
                              <w:szCs w:val="40"/>
                            </w:rPr>
                            <w:t xml:space="preserve"> tool</w:t>
                          </w:r>
                          <w:r w:rsidR="00245BFB">
                            <w:rPr>
                              <w:b/>
                              <w:sz w:val="40"/>
                              <w:szCs w:val="40"/>
                            </w:rPr>
                            <w:t>kit</w:t>
                          </w:r>
                          <w:r w:rsidR="001A2405" w:rsidRPr="00443054">
                            <w:rPr>
                              <w:b/>
                              <w:sz w:val="40"/>
                              <w:szCs w:val="40"/>
                            </w:rPr>
                            <w:t xml:space="preserve"> </w:t>
                          </w:r>
                          <w:r w:rsidR="00245BFB">
                            <w:rPr>
                              <w:b/>
                              <w:sz w:val="40"/>
                              <w:szCs w:val="40"/>
                            </w:rPr>
                            <w:t>for text analytics :“Mining</w:t>
                          </w:r>
                          <w:r>
                            <w:rPr>
                              <w:b/>
                              <w:sz w:val="40"/>
                              <w:szCs w:val="40"/>
                            </w:rPr>
                            <w:t>” similes</w:t>
                          </w:r>
                          <w:r w:rsidR="00245BFB">
                            <w:rPr>
                              <w:b/>
                              <w:sz w:val="40"/>
                              <w:szCs w:val="40"/>
                            </w:rPr>
                            <w:t xml:space="preserve"> in a literary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1.65pt;width:268.5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X+IQIAAB4EAAAOAAAAZHJzL2Uyb0RvYy54bWysU9tuGyEQfa/Uf0C813uJ3cQrr6PUqatK&#10;6UVK+gEsy3pRgaGAvet+fQfWcaz0rSoPiGGGw8yZM6vbUStyEM5LMDUtZjklwnBopdnV9MfT9t0N&#10;JT4w0zIFRtT0KDy9Xb99sxpsJUroQbXCEQQxvhpsTfsQbJVlnvdCMz8DKww6O3CaBTTdLmsdGxBd&#10;q6zM8/fZAK61DrjwHm/vJyddJ/yuEzx86zovAlE1xdxC2l3am7hn6xWrdo7ZXvJTGuwfstBMGvz0&#10;DHXPAiN7J/+C0pI78NCFGQedQddJLlINWE2Rv6rmsWdWpFqQHG/PNPn/B8u/Hr47ItuaXuXXlBim&#10;sUlPYgzkA4ykjPwM1lcY9mgxMIx4jX1OtXr7APynJwY2PTM7ceccDL1gLeZXxJfZxdMJx0eQZvgC&#10;LX7D9gES0Ng5HclDOgiiY5+O597EVDheXs3z5XKBLo6+Il/Mizx1L2PV83PrfPgkQJN4qKnD5id4&#10;dnjwIabDqueQ+JsHJdutVCoZbtdslCMHhkLZppUqeBWmDBlqulyUi4RsIL5PGtIyoJCV1DW9yeOa&#10;pBXp+GjaFBKYVNMZM1HmxE+kZCInjM2IgZG0BtojMuVgEiwOGB56cL8pGVCsNfW/9swJStRng2wv&#10;i/k8qjsZ88V1iYa79DSXHmY4QtU0UDIdNyFNROTBwB12pZOJr5dMTrmiCBONp4GJKr+0U9TLWK//&#10;AAAA//8DAFBLAwQUAAYACAAAACEAM/mGZ90AAAAIAQAADwAAAGRycy9kb3ducmV2LnhtbEyPQU+D&#10;QBCF7yb+h82YeDHtYrGgyNKoicZra3/AAFMgsrOE3Rb6752e6nHee3nzvXwz216daPSdYwOPywgU&#10;ceXqjhsD+5/PxTMoH5Br7B2TgTN52BS3NzlmtZt4S6ddaJSUsM/QQBvCkGntq5Ys+qUbiMU7uNFi&#10;kHNsdD3iJOW216soSrTFjuVDiwN9tFT97o7WwOF7eli/TOVX2Kfbp+Qdu7R0Z2Pu7+a3V1CB5nAN&#10;wwVf0KEQptIdufaqNyBDgoFFEsegxF7HqSil5KJVCrrI9f8BxR8AAAD//wMAUEsBAi0AFAAGAAgA&#10;AAAhALaDOJL+AAAA4QEAABMAAAAAAAAAAAAAAAAAAAAAAFtDb250ZW50X1R5cGVzXS54bWxQSwEC&#10;LQAUAAYACAAAACEAOP0h/9YAAACUAQAACwAAAAAAAAAAAAAAAAAvAQAAX3JlbHMvLnJlbHNQSwEC&#10;LQAUAAYACAAAACEA6xQV/iECAAAeBAAADgAAAAAAAAAAAAAAAAAuAgAAZHJzL2Uyb0RvYy54bWxQ&#10;SwECLQAUAAYACAAAACEAM/mGZ90AAAAIAQAADwAAAAAAAAAAAAAAAAB7BAAAZHJzL2Rvd25yZXYu&#10;eG1sUEsFBgAAAAAEAAQA8wAAAIUFAAAAAA==&#10;" stroked="f">
              <v:textbox>
                <w:txbxContent>
                  <w:p w:rsidR="001A2405" w:rsidRDefault="00B4506A" w:rsidP="00245BFB">
                    <w:pPr>
                      <w:jc w:val="center"/>
                    </w:pPr>
                    <w:r>
                      <w:rPr>
                        <w:b/>
                        <w:sz w:val="40"/>
                        <w:szCs w:val="40"/>
                      </w:rPr>
                      <w:t xml:space="preserve">How to Use </w:t>
                    </w:r>
                    <w:proofErr w:type="spellStart"/>
                    <w:r>
                      <w:rPr>
                        <w:b/>
                        <w:sz w:val="40"/>
                        <w:szCs w:val="40"/>
                      </w:rPr>
                      <w:t>Voyant</w:t>
                    </w:r>
                    <w:proofErr w:type="spellEnd"/>
                    <w:r>
                      <w:rPr>
                        <w:b/>
                        <w:sz w:val="40"/>
                        <w:szCs w:val="40"/>
                      </w:rPr>
                      <w:t xml:space="preserve"> tool</w:t>
                    </w:r>
                    <w:r w:rsidR="00245BFB">
                      <w:rPr>
                        <w:b/>
                        <w:sz w:val="40"/>
                        <w:szCs w:val="40"/>
                      </w:rPr>
                      <w:t>kit</w:t>
                    </w:r>
                    <w:r w:rsidR="001A2405" w:rsidRPr="00443054">
                      <w:rPr>
                        <w:b/>
                        <w:sz w:val="40"/>
                        <w:szCs w:val="40"/>
                      </w:rPr>
                      <w:t xml:space="preserve"> </w:t>
                    </w:r>
                    <w:r w:rsidR="00245BFB">
                      <w:rPr>
                        <w:b/>
                        <w:sz w:val="40"/>
                        <w:szCs w:val="40"/>
                      </w:rPr>
                      <w:t>for text analytics :“Mining</w:t>
                    </w:r>
                    <w:r>
                      <w:rPr>
                        <w:b/>
                        <w:sz w:val="40"/>
                        <w:szCs w:val="40"/>
                      </w:rPr>
                      <w:t>” similes</w:t>
                    </w:r>
                    <w:r w:rsidR="00245BFB">
                      <w:rPr>
                        <w:b/>
                        <w:sz w:val="40"/>
                        <w:szCs w:val="40"/>
                      </w:rPr>
                      <w:t xml:space="preserve"> in a literary work</w:t>
                    </w:r>
                  </w:p>
                </w:txbxContent>
              </v:textbox>
            </v:shape>
          </w:pict>
        </mc:Fallback>
      </mc:AlternateContent>
    </w:r>
    <w:r>
      <w:rPr>
        <w:b/>
        <w:sz w:val="40"/>
        <w:szCs w:val="40"/>
      </w:rPr>
      <w:t xml:space="preserve"> </w:t>
    </w:r>
    <w:r>
      <w:rPr>
        <w:noProof/>
      </w:rPr>
      <w:drawing>
        <wp:inline distT="0" distB="0" distL="0" distR="0" wp14:anchorId="285108EE" wp14:editId="47D057D8">
          <wp:extent cx="2457143" cy="61904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16WEBBANNERSMALLFORDOCSSHORT.png"/>
                  <pic:cNvPicPr/>
                </pic:nvPicPr>
                <pic:blipFill>
                  <a:blip r:embed="rId1">
                    <a:extLst>
                      <a:ext uri="{28A0092B-C50C-407E-A947-70E740481C1C}">
                        <a14:useLocalDpi xmlns:a14="http://schemas.microsoft.com/office/drawing/2010/main" val="0"/>
                      </a:ext>
                    </a:extLst>
                  </a:blip>
                  <a:stretch>
                    <a:fillRect/>
                  </a:stretch>
                </pic:blipFill>
                <pic:spPr>
                  <a:xfrm>
                    <a:off x="0" y="0"/>
                    <a:ext cx="2457143" cy="619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CA8"/>
    <w:multiLevelType w:val="hybridMultilevel"/>
    <w:tmpl w:val="429CD7EA"/>
    <w:lvl w:ilvl="0" w:tplc="CB68DE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10606"/>
    <w:multiLevelType w:val="hybridMultilevel"/>
    <w:tmpl w:val="65ACF542"/>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BC4AF7"/>
    <w:multiLevelType w:val="hybridMultilevel"/>
    <w:tmpl w:val="42EA96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A47989"/>
    <w:multiLevelType w:val="hybridMultilevel"/>
    <w:tmpl w:val="B7AE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468CD"/>
    <w:multiLevelType w:val="hybridMultilevel"/>
    <w:tmpl w:val="AFA0114E"/>
    <w:lvl w:ilvl="0" w:tplc="4C3038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4364D"/>
    <w:multiLevelType w:val="hybridMultilevel"/>
    <w:tmpl w:val="921E15CE"/>
    <w:lvl w:ilvl="0" w:tplc="0409000F">
      <w:start w:val="1"/>
      <w:numFmt w:val="decimal"/>
      <w:lvlText w:val="%1."/>
      <w:lvlJc w:val="left"/>
      <w:pPr>
        <w:ind w:left="360" w:hanging="360"/>
      </w:pPr>
    </w:lvl>
    <w:lvl w:ilvl="1" w:tplc="027EF6C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F463278"/>
    <w:multiLevelType w:val="hybridMultilevel"/>
    <w:tmpl w:val="F8045F94"/>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1305579E"/>
    <w:multiLevelType w:val="hybridMultilevel"/>
    <w:tmpl w:val="CEC4BC44"/>
    <w:lvl w:ilvl="0" w:tplc="5A642F4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A72C7D"/>
    <w:multiLevelType w:val="hybridMultilevel"/>
    <w:tmpl w:val="CE66B652"/>
    <w:lvl w:ilvl="0" w:tplc="789EADAC">
      <w:start w:val="2"/>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02750C"/>
    <w:multiLevelType w:val="hybridMultilevel"/>
    <w:tmpl w:val="2432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3D631F"/>
    <w:multiLevelType w:val="hybridMultilevel"/>
    <w:tmpl w:val="B0AC23A2"/>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1F1FAE"/>
    <w:multiLevelType w:val="hybridMultilevel"/>
    <w:tmpl w:val="0082B2B4"/>
    <w:lvl w:ilvl="0" w:tplc="AF02963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44BA7"/>
    <w:multiLevelType w:val="hybridMultilevel"/>
    <w:tmpl w:val="11124B02"/>
    <w:lvl w:ilvl="0" w:tplc="BC2A1E2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6671DC"/>
    <w:multiLevelType w:val="hybridMultilevel"/>
    <w:tmpl w:val="8F264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041644"/>
    <w:multiLevelType w:val="hybridMultilevel"/>
    <w:tmpl w:val="B7AE3D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0C74D9"/>
    <w:multiLevelType w:val="hybridMultilevel"/>
    <w:tmpl w:val="07C0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051C5C"/>
    <w:multiLevelType w:val="hybridMultilevel"/>
    <w:tmpl w:val="2350FA5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A1668E"/>
    <w:multiLevelType w:val="hybridMultilevel"/>
    <w:tmpl w:val="567A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071EB7"/>
    <w:multiLevelType w:val="hybridMultilevel"/>
    <w:tmpl w:val="7028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8A7410"/>
    <w:multiLevelType w:val="hybridMultilevel"/>
    <w:tmpl w:val="D5385EE4"/>
    <w:lvl w:ilvl="0" w:tplc="5A642F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B17D48"/>
    <w:multiLevelType w:val="hybridMultilevel"/>
    <w:tmpl w:val="A5B0F20A"/>
    <w:lvl w:ilvl="0" w:tplc="5A642F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3"/>
  </w:num>
  <w:num w:numId="3">
    <w:abstractNumId w:val="2"/>
  </w:num>
  <w:num w:numId="4">
    <w:abstractNumId w:val="14"/>
  </w:num>
  <w:num w:numId="5">
    <w:abstractNumId w:val="3"/>
  </w:num>
  <w:num w:numId="6">
    <w:abstractNumId w:val="5"/>
  </w:num>
  <w:num w:numId="7">
    <w:abstractNumId w:val="18"/>
  </w:num>
  <w:num w:numId="8">
    <w:abstractNumId w:val="1"/>
  </w:num>
  <w:num w:numId="9">
    <w:abstractNumId w:val="16"/>
  </w:num>
  <w:num w:numId="10">
    <w:abstractNumId w:val="8"/>
  </w:num>
  <w:num w:numId="11">
    <w:abstractNumId w:val="6"/>
  </w:num>
  <w:num w:numId="12">
    <w:abstractNumId w:val="7"/>
  </w:num>
  <w:num w:numId="13">
    <w:abstractNumId w:val="19"/>
  </w:num>
  <w:num w:numId="14">
    <w:abstractNumId w:val="20"/>
  </w:num>
  <w:num w:numId="15">
    <w:abstractNumId w:val="11"/>
  </w:num>
  <w:num w:numId="16">
    <w:abstractNumId w:val="10"/>
  </w:num>
  <w:num w:numId="17">
    <w:abstractNumId w:val="4"/>
  </w:num>
  <w:num w:numId="18">
    <w:abstractNumId w:val="0"/>
  </w:num>
  <w:num w:numId="19">
    <w:abstractNumId w:val="12"/>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477"/>
    <w:rsid w:val="00155D48"/>
    <w:rsid w:val="001A2405"/>
    <w:rsid w:val="001A7639"/>
    <w:rsid w:val="001B004B"/>
    <w:rsid w:val="001D03E9"/>
    <w:rsid w:val="001D20C3"/>
    <w:rsid w:val="00233BDF"/>
    <w:rsid w:val="00245BFB"/>
    <w:rsid w:val="00266B4D"/>
    <w:rsid w:val="002A03D4"/>
    <w:rsid w:val="002B56AE"/>
    <w:rsid w:val="002D3721"/>
    <w:rsid w:val="00346104"/>
    <w:rsid w:val="0037257E"/>
    <w:rsid w:val="003967E1"/>
    <w:rsid w:val="003A541F"/>
    <w:rsid w:val="003B77FF"/>
    <w:rsid w:val="004111B1"/>
    <w:rsid w:val="00421547"/>
    <w:rsid w:val="00432487"/>
    <w:rsid w:val="00443054"/>
    <w:rsid w:val="004E328A"/>
    <w:rsid w:val="00536546"/>
    <w:rsid w:val="005669F5"/>
    <w:rsid w:val="00580C79"/>
    <w:rsid w:val="005824A9"/>
    <w:rsid w:val="005C5FDE"/>
    <w:rsid w:val="005D4AEB"/>
    <w:rsid w:val="00635004"/>
    <w:rsid w:val="00691033"/>
    <w:rsid w:val="006E1BF6"/>
    <w:rsid w:val="006F65F8"/>
    <w:rsid w:val="00744F8A"/>
    <w:rsid w:val="0085663E"/>
    <w:rsid w:val="00871CA0"/>
    <w:rsid w:val="008C2E80"/>
    <w:rsid w:val="0092394B"/>
    <w:rsid w:val="009429C2"/>
    <w:rsid w:val="009C2147"/>
    <w:rsid w:val="009C6096"/>
    <w:rsid w:val="009F4E58"/>
    <w:rsid w:val="009F6F50"/>
    <w:rsid w:val="00A02907"/>
    <w:rsid w:val="00B12B93"/>
    <w:rsid w:val="00B1338B"/>
    <w:rsid w:val="00B4506A"/>
    <w:rsid w:val="00B50AD5"/>
    <w:rsid w:val="00C8456D"/>
    <w:rsid w:val="00D1064C"/>
    <w:rsid w:val="00D400EB"/>
    <w:rsid w:val="00E3793B"/>
    <w:rsid w:val="00ED6477"/>
    <w:rsid w:val="00F23650"/>
    <w:rsid w:val="00F25982"/>
    <w:rsid w:val="00F72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79"/>
    <w:pPr>
      <w:spacing w:after="0" w:line="240" w:lineRule="auto"/>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477"/>
    <w:pPr>
      <w:ind w:left="720"/>
    </w:pPr>
  </w:style>
  <w:style w:type="paragraph" w:styleId="BalloonText">
    <w:name w:val="Balloon Text"/>
    <w:basedOn w:val="Normal"/>
    <w:link w:val="BalloonTextChar"/>
    <w:uiPriority w:val="99"/>
    <w:semiHidden/>
    <w:unhideWhenUsed/>
    <w:rsid w:val="0037257E"/>
    <w:rPr>
      <w:rFonts w:ascii="Tahoma" w:hAnsi="Tahoma" w:cs="Tahoma"/>
      <w:sz w:val="16"/>
      <w:szCs w:val="16"/>
    </w:rPr>
  </w:style>
  <w:style w:type="character" w:customStyle="1" w:styleId="BalloonTextChar">
    <w:name w:val="Balloon Text Char"/>
    <w:basedOn w:val="DefaultParagraphFont"/>
    <w:link w:val="BalloonText"/>
    <w:uiPriority w:val="99"/>
    <w:semiHidden/>
    <w:rsid w:val="0037257E"/>
    <w:rPr>
      <w:rFonts w:ascii="Tahoma" w:hAnsi="Tahoma" w:cs="Tahoma"/>
      <w:sz w:val="16"/>
      <w:szCs w:val="16"/>
    </w:rPr>
  </w:style>
  <w:style w:type="paragraph" w:styleId="Header">
    <w:name w:val="header"/>
    <w:basedOn w:val="Normal"/>
    <w:link w:val="HeaderChar"/>
    <w:uiPriority w:val="99"/>
    <w:unhideWhenUsed/>
    <w:rsid w:val="001A2405"/>
    <w:pPr>
      <w:tabs>
        <w:tab w:val="center" w:pos="4680"/>
        <w:tab w:val="right" w:pos="9360"/>
      </w:tabs>
    </w:pPr>
  </w:style>
  <w:style w:type="character" w:customStyle="1" w:styleId="HeaderChar">
    <w:name w:val="Header Char"/>
    <w:basedOn w:val="DefaultParagraphFont"/>
    <w:link w:val="Header"/>
    <w:uiPriority w:val="99"/>
    <w:rsid w:val="001A2405"/>
  </w:style>
  <w:style w:type="paragraph" w:styleId="Footer">
    <w:name w:val="footer"/>
    <w:basedOn w:val="Normal"/>
    <w:link w:val="FooterChar"/>
    <w:uiPriority w:val="99"/>
    <w:unhideWhenUsed/>
    <w:rsid w:val="001A2405"/>
    <w:pPr>
      <w:tabs>
        <w:tab w:val="center" w:pos="4680"/>
        <w:tab w:val="right" w:pos="9360"/>
      </w:tabs>
    </w:pPr>
  </w:style>
  <w:style w:type="character" w:customStyle="1" w:styleId="FooterChar">
    <w:name w:val="Footer Char"/>
    <w:basedOn w:val="DefaultParagraphFont"/>
    <w:link w:val="Footer"/>
    <w:uiPriority w:val="99"/>
    <w:rsid w:val="001A2405"/>
  </w:style>
  <w:style w:type="character" w:styleId="PlaceholderText">
    <w:name w:val="Placeholder Text"/>
    <w:basedOn w:val="DefaultParagraphFont"/>
    <w:uiPriority w:val="99"/>
    <w:semiHidden/>
    <w:rsid w:val="00155D48"/>
    <w:rPr>
      <w:color w:val="808080"/>
    </w:rPr>
  </w:style>
  <w:style w:type="character" w:styleId="Hyperlink">
    <w:name w:val="Hyperlink"/>
    <w:basedOn w:val="DefaultParagraphFont"/>
    <w:uiPriority w:val="99"/>
    <w:unhideWhenUsed/>
    <w:rsid w:val="004E32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C79"/>
    <w:pPr>
      <w:spacing w:after="0" w:line="240" w:lineRule="auto"/>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477"/>
    <w:pPr>
      <w:ind w:left="720"/>
    </w:pPr>
  </w:style>
  <w:style w:type="paragraph" w:styleId="BalloonText">
    <w:name w:val="Balloon Text"/>
    <w:basedOn w:val="Normal"/>
    <w:link w:val="BalloonTextChar"/>
    <w:uiPriority w:val="99"/>
    <w:semiHidden/>
    <w:unhideWhenUsed/>
    <w:rsid w:val="0037257E"/>
    <w:rPr>
      <w:rFonts w:ascii="Tahoma" w:hAnsi="Tahoma" w:cs="Tahoma"/>
      <w:sz w:val="16"/>
      <w:szCs w:val="16"/>
    </w:rPr>
  </w:style>
  <w:style w:type="character" w:customStyle="1" w:styleId="BalloonTextChar">
    <w:name w:val="Balloon Text Char"/>
    <w:basedOn w:val="DefaultParagraphFont"/>
    <w:link w:val="BalloonText"/>
    <w:uiPriority w:val="99"/>
    <w:semiHidden/>
    <w:rsid w:val="0037257E"/>
    <w:rPr>
      <w:rFonts w:ascii="Tahoma" w:hAnsi="Tahoma" w:cs="Tahoma"/>
      <w:sz w:val="16"/>
      <w:szCs w:val="16"/>
    </w:rPr>
  </w:style>
  <w:style w:type="paragraph" w:styleId="Header">
    <w:name w:val="header"/>
    <w:basedOn w:val="Normal"/>
    <w:link w:val="HeaderChar"/>
    <w:uiPriority w:val="99"/>
    <w:unhideWhenUsed/>
    <w:rsid w:val="001A2405"/>
    <w:pPr>
      <w:tabs>
        <w:tab w:val="center" w:pos="4680"/>
        <w:tab w:val="right" w:pos="9360"/>
      </w:tabs>
    </w:pPr>
  </w:style>
  <w:style w:type="character" w:customStyle="1" w:styleId="HeaderChar">
    <w:name w:val="Header Char"/>
    <w:basedOn w:val="DefaultParagraphFont"/>
    <w:link w:val="Header"/>
    <w:uiPriority w:val="99"/>
    <w:rsid w:val="001A2405"/>
  </w:style>
  <w:style w:type="paragraph" w:styleId="Footer">
    <w:name w:val="footer"/>
    <w:basedOn w:val="Normal"/>
    <w:link w:val="FooterChar"/>
    <w:uiPriority w:val="99"/>
    <w:unhideWhenUsed/>
    <w:rsid w:val="001A2405"/>
    <w:pPr>
      <w:tabs>
        <w:tab w:val="center" w:pos="4680"/>
        <w:tab w:val="right" w:pos="9360"/>
      </w:tabs>
    </w:pPr>
  </w:style>
  <w:style w:type="character" w:customStyle="1" w:styleId="FooterChar">
    <w:name w:val="Footer Char"/>
    <w:basedOn w:val="DefaultParagraphFont"/>
    <w:link w:val="Footer"/>
    <w:uiPriority w:val="99"/>
    <w:rsid w:val="001A2405"/>
  </w:style>
  <w:style w:type="character" w:styleId="PlaceholderText">
    <w:name w:val="Placeholder Text"/>
    <w:basedOn w:val="DefaultParagraphFont"/>
    <w:uiPriority w:val="99"/>
    <w:semiHidden/>
    <w:rsid w:val="00155D48"/>
    <w:rPr>
      <w:color w:val="808080"/>
    </w:rPr>
  </w:style>
  <w:style w:type="character" w:styleId="Hyperlink">
    <w:name w:val="Hyperlink"/>
    <w:basedOn w:val="DefaultParagraphFont"/>
    <w:uiPriority w:val="99"/>
    <w:unhideWhenUsed/>
    <w:rsid w:val="004E3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voyant-tools.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gutenberg.org/ebooks/5711" TargetMode="Externa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9BC9B-5890-4C69-AEA0-65433700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Lulofs</dc:creator>
  <cp:lastModifiedBy>Tim Lulofs</cp:lastModifiedBy>
  <cp:revision>2</cp:revision>
  <dcterms:created xsi:type="dcterms:W3CDTF">2017-01-06T05:58:00Z</dcterms:created>
  <dcterms:modified xsi:type="dcterms:W3CDTF">2017-01-06T05:58:00Z</dcterms:modified>
</cp:coreProperties>
</file>